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2B01AA4E" wp14:anchorId="198FA012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574335E9"/>
            </w:pict>
          </mc:Fallback>
        </mc:AlternateContent>
      </w:r>
      <w:r>
        <w:rPr>
          <w:noProof/>
        </w:rPr>
        <w:drawing>
          <wp:inline distT="0" distB="0" distL="0" distR="0" wp14:anchorId="35FC8DBC" wp14:editId="3B89A584">
            <wp:extent cx="1257300" cy="465455"/>
            <wp:effectExtent l="0" t="0" r="0" b="0"/>
            <wp:docPr id="3" name="Imag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B4C68">
        <w:rPr>
          <w:lang w:val="en-GB"/>
        </w:rPr>
        <w:tab/>
      </w:r>
      <w:r w:rsidR="004B4C68">
        <w:rPr>
          <w:lang w:val="en-GB"/>
        </w:rPr>
        <w:tab/>
      </w:r>
      <w:r w:rsidR="004B4C68">
        <w:rPr>
          <w:lang w:val="en-GB"/>
        </w:rPr>
        <w:tab/>
      </w:r>
      <w:r w:rsidR="004B4C68">
        <w:rPr>
          <w:lang w:val="en-GB"/>
        </w:rPr>
        <w:tab/>
      </w:r>
      <w:r w:rsidR="004B4C68">
        <w:rPr>
          <w:lang w:val="en-GB"/>
        </w:rPr>
        <w:tab/>
      </w:r>
      <w:r w:rsidR="004B4C68">
        <w:rPr>
          <w:rFonts w:ascii="Arial" w:hAnsi="Arial" w:cs="Arial"/>
          <w:color w:val="001740"/>
          <w:sz w:val="32"/>
          <w:szCs w:val="32"/>
          <w:lang w:val="en-GB"/>
        </w:rPr>
        <w:t xml:space="preserve"> MIPOLAM </w:t>
      </w:r>
      <w:r w:rsidR="000428D3">
        <w:rPr>
          <w:rFonts w:ascii="Arial" w:hAnsi="Arial" w:cs="Arial"/>
          <w:color w:val="001740"/>
          <w:sz w:val="32"/>
          <w:szCs w:val="32"/>
          <w:lang w:val="en-GB"/>
        </w:rPr>
        <w:t xml:space="preserve">EL5</w:t>
      </w:r>
    </w:p>
    <w:p w:rsidRPr="00DF3913" w:rsidR="00A64157" w:rsidRDefault="00A64157" w14:paraId="7EFF71D4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="004B4C68" w:rsidP="004B4C68" w:rsidRDefault="004B4C68" w14:paraId="28BEBB24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 w:rsidR="00D37E4A" w:rsidP="004B4C68" w:rsidRDefault="00D37E4A" w14:paraId="381E27EC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 w:rsidR="00D37E4A" w:rsidP="004B4C68" w:rsidRDefault="00D37E4A" w14:paraId="77EE6C63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4B4C68">
        <w:rPr>
          <w:rFonts w:ascii="Arial" w:hAnsi="Arial" w:cs="Arial"/>
          <w:b/>
          <w:lang w:val="en-GB"/>
        </w:rPr>
        <w:t xml:space="preserve">MIPOLAM EL5 </w:t>
      </w:r>
      <w:r w:rsidRPr="004B4C68">
        <w:rPr>
          <w:rFonts w:ascii="Arial" w:hAnsi="Arial" w:cs="Arial"/>
          <w:lang w:val="en-GB"/>
        </w:rPr>
        <w:t xml:space="preserve">é um </w:t>
      </w:r>
      <w:r w:rsidR="00EC174A">
        <w:rPr>
          <w:rFonts w:ascii="Arial" w:hAnsi="Arial" w:cs="Arial"/>
          <w:lang w:val="en-GB"/>
        </w:rPr>
        <w:t xml:space="preserve">revestimento </w:t>
      </w:r>
      <w:r w:rsidRPr="004B4C68">
        <w:rPr>
          <w:rFonts w:ascii="Arial" w:hAnsi="Arial" w:cs="Arial"/>
          <w:lang w:val="en-GB"/>
        </w:rPr>
        <w:t xml:space="preserve">vinílico homogéneo, flexível e condutor, </w:t>
      </w:r>
      <w:r w:rsidR="00EC174A">
        <w:rPr>
          <w:rFonts w:ascii="Arial" w:hAnsi="Arial" w:cs="Arial"/>
          <w:lang w:val="en-GB"/>
        </w:rPr>
        <w:t xml:space="preserve">disponível em placas</w:t>
      </w:r>
      <w:r w:rsidRPr="004B4C68">
        <w:rPr>
          <w:rFonts w:ascii="Arial" w:hAnsi="Arial" w:cs="Arial"/>
          <w:lang w:val="en-GB"/>
        </w:rPr>
        <w:t xml:space="preserve">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4B4C68">
        <w:rPr>
          <w:rFonts w:ascii="Arial" w:hAnsi="Arial" w:cs="Arial"/>
          <w:lang w:val="en-GB"/>
        </w:rPr>
        <w:t xml:space="preserve">O material homogéneo de 2 mm incorpora grânulos de carbono encapsulados em toda a sua espessura</w:t>
      </w:r>
      <w:r w:rsidR="00EC174A">
        <w:rPr>
          <w:rFonts w:ascii="Arial" w:hAnsi="Arial" w:cs="Arial"/>
          <w:lang w:val="en-GB"/>
        </w:rPr>
        <w:t xml:space="preserve">. </w:t>
      </w:r>
      <w:r w:rsidRPr="004B4C68">
        <w:rPr>
          <w:rFonts w:ascii="Arial" w:hAnsi="Arial" w:cs="Arial"/>
          <w:lang w:val="en-GB"/>
        </w:rPr>
        <w:t xml:space="preserve">Tem um </w:t>
      </w:r>
      <w:r w:rsidRPr="004B4C68">
        <w:rPr>
          <w:rFonts w:ascii="Arial" w:hAnsi="Arial" w:cs="Arial"/>
          <w:b/>
          <w:lang w:val="en-GB"/>
        </w:rPr>
        <w:t xml:space="preserve">suporte condutor </w:t>
      </w:r>
      <w:r w:rsidRPr="004B4C68">
        <w:rPr>
          <w:rFonts w:ascii="Arial" w:hAnsi="Arial" w:cs="Arial"/>
          <w:lang w:val="en-GB"/>
        </w:rPr>
        <w:t xml:space="preserve">para garantir </w:t>
      </w:r>
      <w:r w:rsidRPr="004B4C68">
        <w:rPr>
          <w:rFonts w:ascii="Arial" w:hAnsi="Arial" w:cs="Arial"/>
          <w:lang w:val="en-GB"/>
        </w:rPr>
        <w:t xml:space="preserve">propriedades condutoras </w:t>
      </w:r>
      <w:r w:rsidRPr="004B4C68">
        <w:rPr>
          <w:rFonts w:ascii="Arial" w:hAnsi="Arial" w:cs="Arial"/>
          <w:lang w:val="en-GB"/>
        </w:rPr>
        <w:t xml:space="preserve">óptimas e </w:t>
      </w:r>
      <w:r w:rsidRPr="004B4C68">
        <w:rPr>
          <w:rFonts w:ascii="Arial" w:hAnsi="Arial" w:cs="Arial"/>
          <w:lang w:val="en-GB"/>
        </w:rPr>
        <w:t xml:space="preserve">consistentes durante toda a sua vida útil. </w:t>
      </w:r>
    </w:p>
    <w:p w:rsidR="004B4C68" w:rsidP="004B4C68" w:rsidRDefault="004B4C68" w14:paraId="3E10EAE8" w14:textId="77777777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2A15AC">
        <w:rPr>
          <w:rFonts w:ascii="Arial" w:hAnsi="Arial" w:cs="Arial"/>
          <w:bCs/>
          <w:lang w:val="en-GB"/>
        </w:rPr>
        <w:t xml:space="preserve">Este revestimento de pavimento é tratado com </w:t>
      </w:r>
      <w:r w:rsidRPr="009827D9">
        <w:rPr>
          <w:rFonts w:ascii="Arial" w:hAnsi="Arial" w:cs="Arial"/>
          <w:b/>
          <w:bCs/>
          <w:lang w:val="en-GB"/>
        </w:rPr>
        <w:t xml:space="preserve">Evercare™</w:t>
      </w:r>
      <w:r w:rsidR="00EC174A">
        <w:rPr>
          <w:rFonts w:ascii="Arial" w:hAnsi="Arial" w:cs="Arial"/>
          <w:bCs/>
          <w:lang w:val="en-GB"/>
        </w:rPr>
        <w:t xml:space="preserve">: </w:t>
      </w:r>
      <w:r w:rsidRPr="002A15AC">
        <w:rPr>
          <w:rFonts w:ascii="Arial" w:hAnsi="Arial" w:cs="Arial"/>
          <w:bCs/>
          <w:lang w:val="en-GB"/>
        </w:rPr>
        <w:t xml:space="preserve">os mais recentes melhoramentos no tratamento de superfícies de poliuretano obtidos por reticulação a laser UV</w:t>
      </w:r>
      <w:r w:rsidR="00EC174A">
        <w:rPr>
          <w:rFonts w:ascii="Arial" w:hAnsi="Arial" w:cs="Arial"/>
          <w:bCs/>
          <w:lang w:val="en-GB"/>
        </w:rPr>
        <w:t xml:space="preserve">. </w:t>
      </w:r>
      <w:r w:rsidR="00EC174A">
        <w:rPr>
          <w:rFonts w:ascii="Arial" w:hAnsi="Arial" w:cs="Arial"/>
          <w:bCs/>
          <w:lang w:val="en-GB"/>
        </w:rPr>
        <w:t xml:space="preserve">O Evercare™ evita as manchas provocadas por </w:t>
      </w:r>
      <w:r w:rsidRPr="002A15AC">
        <w:rPr>
          <w:rFonts w:ascii="Arial" w:hAnsi="Arial" w:cs="Arial"/>
          <w:bCs/>
          <w:lang w:val="en-GB"/>
        </w:rPr>
        <w:t xml:space="preserve">produtos químicos utilizados nos cuidados de saúde, como a betadina, a eosina ou o gel antibacteriano para as mãos, e aumenta a durabilidade do pavimento.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2A15AC">
        <w:rPr>
          <w:rFonts w:ascii="Arial" w:hAnsi="Arial" w:cs="Arial"/>
          <w:bCs/>
          <w:lang w:val="en-GB"/>
        </w:rPr>
        <w:t xml:space="preserve">Este tratamento tem excelentes características de manutenção; não necessita de cera para toda a vida!</w:t>
      </w:r>
    </w:p>
    <w:p w:rsidR="009D3433" w:rsidP="004B4C68" w:rsidRDefault="009D3433" w14:paraId="6ED04434" w14:textId="77777777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9D3433">
        <w:rPr>
          <w:rFonts w:ascii="Arial" w:hAnsi="Arial" w:cs="Arial"/>
          <w:bCs/>
          <w:lang w:val="en-GB"/>
        </w:rPr>
        <w:t xml:space="preserve">De acordo com a norma ISO 21702, o Mipolam </w:t>
      </w:r>
      <w:r>
        <w:rPr>
          <w:rFonts w:ascii="Arial" w:hAnsi="Arial" w:cs="Arial"/>
          <w:bCs/>
          <w:lang w:val="en-GB"/>
        </w:rPr>
        <w:t xml:space="preserve">EL5 </w:t>
      </w:r>
      <w:r w:rsidRPr="009D3433">
        <w:rPr>
          <w:rFonts w:ascii="Arial" w:hAnsi="Arial" w:cs="Arial"/>
          <w:bCs/>
          <w:lang w:val="en-GB"/>
        </w:rPr>
        <w:t xml:space="preserve">tem </w:t>
      </w:r>
      <w:r w:rsidRPr="009D3433">
        <w:rPr>
          <w:rFonts w:ascii="Arial" w:hAnsi="Arial" w:cs="Arial"/>
          <w:b/>
          <w:lang w:val="en-GB"/>
        </w:rPr>
        <w:t xml:space="preserve">atividade antiviral </w:t>
      </w:r>
      <w:r w:rsidRPr="009D3433">
        <w:rPr>
          <w:rFonts w:ascii="Arial" w:hAnsi="Arial" w:cs="Arial"/>
          <w:bCs/>
          <w:lang w:val="en-GB"/>
        </w:rPr>
        <w:t xml:space="preserve">contra </w:t>
      </w:r>
      <w:r w:rsidRPr="009D3433">
        <w:rPr>
          <w:rFonts w:ascii="Arial" w:hAnsi="Arial" w:cs="Arial"/>
          <w:bCs/>
          <w:lang w:val="en-GB"/>
        </w:rPr>
        <w:t xml:space="preserve">os Coronavírus Humanos: </w:t>
      </w:r>
      <w:r w:rsidRPr="009D3433">
        <w:rPr>
          <w:rFonts w:ascii="Arial" w:hAnsi="Arial" w:cs="Arial"/>
          <w:bCs/>
          <w:lang w:val="en-GB"/>
        </w:rPr>
        <w:t xml:space="preserve">reduz o número de vírus em 99,7% após 2h00. 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9D3433">
        <w:rPr>
          <w:rFonts w:ascii="Arial" w:hAnsi="Arial" w:cs="Arial"/>
          <w:bCs/>
          <w:lang w:val="en-GB"/>
        </w:rPr>
        <w:t xml:space="preserve">De acordo com a norma ISO 22196, o Mipolam </w:t>
      </w:r>
      <w:r>
        <w:rPr>
          <w:rFonts w:ascii="Arial" w:hAnsi="Arial" w:cs="Arial"/>
          <w:bCs/>
          <w:lang w:val="en-GB"/>
        </w:rPr>
        <w:t xml:space="preserve">EL5 </w:t>
      </w:r>
      <w:r w:rsidRPr="009D3433">
        <w:rPr>
          <w:rFonts w:ascii="Arial" w:hAnsi="Arial" w:cs="Arial"/>
          <w:bCs/>
          <w:lang w:val="en-GB"/>
        </w:rPr>
        <w:t xml:space="preserve">tem uma </w:t>
      </w:r>
      <w:r w:rsidRPr="009D3433">
        <w:rPr>
          <w:rFonts w:ascii="Arial" w:hAnsi="Arial" w:cs="Arial"/>
          <w:b/>
          <w:lang w:val="en-GB"/>
        </w:rPr>
        <w:t xml:space="preserve">atividade antibacteriana </w:t>
      </w:r>
      <w:r w:rsidRPr="009D3433">
        <w:rPr>
          <w:rFonts w:ascii="Arial" w:hAnsi="Arial" w:cs="Arial"/>
          <w:bCs/>
          <w:lang w:val="en-GB"/>
        </w:rPr>
        <w:t xml:space="preserve">contra E. coli, S. aureus </w:t>
      </w:r>
      <w:r w:rsidRPr="009D3433">
        <w:rPr>
          <w:rFonts w:ascii="Arial" w:hAnsi="Arial" w:cs="Arial"/>
          <w:bCs/>
          <w:lang w:val="en-GB"/>
        </w:rPr>
        <w:t xml:space="preserve">e MRSA </w:t>
      </w:r>
      <w:r w:rsidRPr="009D3433">
        <w:rPr>
          <w:rFonts w:ascii="Arial" w:hAnsi="Arial" w:cs="Arial"/>
          <w:bCs/>
          <w:lang w:val="en-GB"/>
        </w:rPr>
        <w:t xml:space="preserve">de 99% após 24h00.</w:t>
      </w:r>
    </w:p>
    <w:p w:rsidRPr="002A15AC" w:rsidR="009D3433" w:rsidP="004B4C68" w:rsidRDefault="009D3433" w14:paraId="52260DA7" w14:textId="77777777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</w:p>
    <w:p w:rsidR="004B4C68" w:rsidP="004B4C68" w:rsidRDefault="004B4C68" w14:paraId="18E6B3BD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4B4C68">
        <w:rPr>
          <w:rFonts w:ascii="Arial" w:hAnsi="Arial" w:cs="Arial"/>
          <w:b/>
          <w:lang w:val="en-GB"/>
        </w:rPr>
        <w:t xml:space="preserve">O MIPOLAM EL5 </w:t>
      </w:r>
      <w:r w:rsidRPr="004B4C68" w:rsidR="004B4C68">
        <w:rPr>
          <w:rFonts w:ascii="Arial" w:hAnsi="Arial" w:cs="Arial"/>
          <w:lang w:val="en-GB"/>
        </w:rPr>
        <w:t xml:space="preserve">actua como um condutor contínuo </w:t>
      </w:r>
      <w:r w:rsidRPr="004B4C68" w:rsidR="004B4C68">
        <w:rPr>
          <w:rFonts w:ascii="Arial" w:hAnsi="Arial" w:cs="Arial"/>
          <w:b/>
          <w:lang w:val="en-GB"/>
        </w:rPr>
        <w:t xml:space="preserve">10</w:t>
      </w:r>
      <w:r w:rsidRPr="004B4C68" w:rsidR="004B4C68">
        <w:rPr>
          <w:rFonts w:ascii="Arial" w:hAnsi="Arial" w:cs="Arial"/>
          <w:b/>
          <w:vertAlign w:val="superscript"/>
          <w:lang w:val="en-GB"/>
        </w:rPr>
        <w:t xml:space="preserve">4</w:t>
      </w:r>
      <w:r w:rsidRPr="004B4C68" w:rsidR="004B4C68">
        <w:rPr>
          <w:rFonts w:ascii="Arial" w:hAnsi="Arial" w:cs="Arial"/>
          <w:b/>
          <w:lang w:val="en-GB"/>
        </w:rPr>
        <w:t xml:space="preserve"> ≤ Rt ≤ 10</w:t>
      </w:r>
      <w:r w:rsidRPr="004B4C68" w:rsidR="004B4C68">
        <w:rPr>
          <w:rFonts w:ascii="Arial" w:hAnsi="Arial" w:cs="Arial"/>
          <w:b/>
          <w:vertAlign w:val="superscript"/>
          <w:lang w:val="en-GB"/>
        </w:rPr>
        <w:t xml:space="preserve">6</w:t>
      </w:r>
      <w:r w:rsidR="00EC174A">
        <w:rPr>
          <w:rFonts w:ascii="Arial" w:hAnsi="Arial" w:cs="Arial"/>
          <w:lang w:val="en-GB"/>
        </w:rPr>
        <w:t xml:space="preserve"> . </w:t>
      </w:r>
      <w:r w:rsidRPr="004B4C68" w:rsidR="00EC174A">
        <w:rPr>
          <w:rFonts w:ascii="Arial" w:hAnsi="Arial" w:cs="Arial"/>
          <w:lang w:val="en-GB"/>
        </w:rPr>
        <w:t xml:space="preserve">Possui </w:t>
      </w:r>
      <w:r w:rsidR="00EC174A">
        <w:rPr>
          <w:rFonts w:ascii="Arial" w:hAnsi="Arial" w:cs="Arial"/>
          <w:lang w:val="en-GB"/>
        </w:rPr>
        <w:t xml:space="preserve">propriedades anti-estáticas permanentes (&lt; </w:t>
      </w:r>
      <w:r w:rsidRPr="004B4C68" w:rsidR="00EC174A">
        <w:rPr>
          <w:rFonts w:ascii="Arial" w:hAnsi="Arial" w:cs="Arial"/>
          <w:lang w:val="en-GB"/>
        </w:rPr>
        <w:t xml:space="preserve">100 V). </w:t>
      </w:r>
      <w:r w:rsidR="00EC174A">
        <w:rPr>
          <w:rFonts w:ascii="Arial" w:hAnsi="Arial" w:cs="Arial"/>
          <w:lang w:val="en-GB"/>
        </w:rPr>
        <w:t xml:space="preserve">O produto </w:t>
      </w:r>
      <w:r w:rsidR="00EC174A">
        <w:rPr>
          <w:rFonts w:ascii="Arial" w:hAnsi="Arial" w:cs="Arial"/>
          <w:lang w:val="en-GB"/>
        </w:rPr>
        <w:t xml:space="preserve">deve ser ligado à terra </w:t>
      </w:r>
      <w:r w:rsidR="00EC174A">
        <w:rPr>
          <w:rFonts w:ascii="Arial" w:hAnsi="Arial" w:cs="Arial"/>
          <w:lang w:val="en-GB"/>
        </w:rPr>
        <w:t xml:space="preserve">com uma fita de cobre ESD (ver acabamentos) para cumprir todas as suas funções. </w:t>
      </w:r>
    </w:p>
    <w:p w:rsidR="00A67376" w:rsidP="00EC174A" w:rsidRDefault="00A67376" w14:paraId="7BED4BF8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É 100% isento de ftalatos.</w:t>
      </w:r>
    </w:p>
    <w:p w:rsidR="00294543" w:rsidP="00294543" w:rsidRDefault="00294543" w14:paraId="6205914D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B714FE">
        <w:rPr>
          <w:rFonts w:ascii="Arial" w:hAnsi="Arial" w:cs="Arial"/>
          <w:bCs/>
          <w:lang w:val="en-GB"/>
        </w:rPr>
        <w:t xml:space="preserve">O produto não é reativo à indentação residual com um valor ≤ </w:t>
      </w:r>
      <w:r w:rsidRPr="00697DC1">
        <w:rPr>
          <w:rFonts w:ascii="Arial" w:hAnsi="Arial" w:cs="Arial"/>
          <w:b/>
          <w:bCs/>
          <w:lang w:val="en-GB"/>
        </w:rPr>
        <w:t xml:space="preserve">0,02 mm </w:t>
      </w:r>
      <w:r w:rsidR="00A16FE1">
        <w:rPr>
          <w:rFonts w:ascii="Arial" w:hAnsi="Arial" w:cs="Arial"/>
          <w:bCs/>
          <w:lang w:val="en-GB"/>
        </w:rPr>
        <w:t xml:space="preserve">(EN </w:t>
      </w:r>
      <w:r w:rsidRPr="00D802D1" w:rsidR="00D802D1">
        <w:rPr>
          <w:rFonts w:ascii="Arial" w:hAnsi="Arial" w:cs="Arial"/>
          <w:bCs/>
          <w:lang w:val="en-US"/>
        </w:rPr>
        <w:t xml:space="preserve">ISO 24343-1</w:t>
      </w:r>
      <w:r w:rsidRPr="00B714FE">
        <w:rPr>
          <w:rFonts w:ascii="Arial" w:hAnsi="Arial" w:cs="Arial"/>
          <w:bCs/>
          <w:lang w:val="en-GB"/>
        </w:rPr>
        <w:t xml:space="preserve">).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B714FE">
        <w:rPr>
          <w:rFonts w:ascii="Arial" w:hAnsi="Arial" w:cs="Arial"/>
          <w:bCs/>
          <w:lang w:val="en-GB"/>
        </w:rPr>
        <w:t xml:space="preserve">O pavimento está em conformidade com a </w:t>
      </w:r>
      <w:r>
        <w:rPr>
          <w:rFonts w:ascii="Arial" w:hAnsi="Arial" w:cs="Arial"/>
          <w:bCs/>
          <w:lang w:val="en-GB"/>
        </w:rPr>
        <w:t xml:space="preserve">norma EN </w:t>
      </w:r>
      <w:r w:rsidR="009D3433">
        <w:rPr>
          <w:rFonts w:ascii="Arial" w:hAnsi="Arial" w:cs="Arial"/>
          <w:bCs/>
          <w:lang w:val="en-GB"/>
        </w:rPr>
        <w:t xml:space="preserve">1081 </w:t>
      </w:r>
      <w:r>
        <w:rPr>
          <w:rFonts w:ascii="Arial" w:hAnsi="Arial" w:cs="Arial"/>
          <w:bCs/>
          <w:lang w:val="en-GB"/>
        </w:rPr>
        <w:t xml:space="preserve">(34-43) e oferece um </w:t>
      </w:r>
      <w:r w:rsidR="00A67376">
        <w:rPr>
          <w:rFonts w:ascii="Arial" w:hAnsi="Arial" w:cs="Arial"/>
          <w:bCs/>
          <w:lang w:val="en-GB"/>
        </w:rPr>
        <w:t xml:space="preserve">teor de ligante do tipo II, é </w:t>
      </w:r>
      <w:r w:rsidRPr="00B714FE">
        <w:rPr>
          <w:rFonts w:ascii="Arial" w:hAnsi="Arial" w:cs="Arial"/>
          <w:bCs/>
          <w:lang w:val="en-GB"/>
        </w:rPr>
        <w:t xml:space="preserve">adequado para áreas de tráfego intenso e </w:t>
      </w:r>
      <w:r w:rsidR="00A67376">
        <w:rPr>
          <w:rFonts w:ascii="Arial" w:hAnsi="Arial" w:cs="Arial"/>
          <w:bCs/>
          <w:lang w:val="en-GB"/>
        </w:rPr>
        <w:t xml:space="preserve">tem </w:t>
      </w:r>
      <w:r w:rsidRPr="00B714FE">
        <w:rPr>
          <w:rFonts w:ascii="Arial" w:hAnsi="Arial" w:cs="Arial"/>
          <w:bCs/>
          <w:lang w:val="en-GB"/>
        </w:rPr>
        <w:t xml:space="preserve">uma resistência ao fogo de Bfl-s1.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B714FE">
        <w:rPr>
          <w:rFonts w:ascii="Arial" w:hAnsi="Arial" w:cs="Arial"/>
          <w:bCs/>
          <w:lang w:val="en-GB"/>
        </w:rPr>
        <w:t xml:space="preserve">O produto </w:t>
      </w:r>
      <w:r>
        <w:rPr>
          <w:rFonts w:ascii="Arial" w:hAnsi="Arial" w:cs="Arial"/>
          <w:bCs/>
          <w:lang w:val="en-GB"/>
        </w:rPr>
        <w:t xml:space="preserve">não é emissivo de </w:t>
      </w:r>
      <w:r w:rsidRPr="00B714FE">
        <w:rPr>
          <w:rFonts w:ascii="Arial" w:hAnsi="Arial" w:cs="Arial"/>
          <w:bCs/>
          <w:lang w:val="en-GB"/>
        </w:rPr>
        <w:t xml:space="preserve">compostos orgânicos voláteis </w:t>
      </w:r>
      <w:r>
        <w:rPr>
          <w:rFonts w:ascii="Arial" w:hAnsi="Arial" w:cs="Arial"/>
          <w:bCs/>
          <w:lang w:val="en-GB"/>
        </w:rPr>
        <w:t xml:space="preserve">com </w:t>
      </w:r>
      <w:r w:rsidRPr="00B714FE">
        <w:rPr>
          <w:rFonts w:ascii="Arial" w:hAnsi="Arial" w:cs="Arial"/>
          <w:bCs/>
          <w:lang w:val="en-GB"/>
        </w:rPr>
        <w:t xml:space="preserve">&lt;10 µg/m3 (TVOC após 28 dias ISO 16000-6).</w:t>
      </w:r>
    </w:p>
    <w:p w:rsidR="004B4C68" w:rsidP="004B4C68" w:rsidRDefault="004B4C68" w14:paraId="1E386330" w14:textId="77777777">
      <w:pPr>
        <w:jc w:val="both"/>
        <w:rPr>
          <w:noProof/>
          <w:lang w:val="en-GB"/>
        </w:rPr>
      </w:pPr>
    </w:p>
    <w:p w:rsidR="004B4C68" w:rsidP="004B4C68" w:rsidRDefault="004B4C68" w14:paraId="7441DE62" w14:textId="77777777">
      <w:pPr>
        <w:jc w:val="both"/>
        <w:rPr>
          <w:noProof/>
          <w:lang w:val="en-GB"/>
        </w:rPr>
      </w:pPr>
    </w:p>
    <w:p w:rsidRPr="00630F3B" w:rsidR="004B4C68" w:rsidP="00630F3B" w:rsidRDefault="004B4C68" w14:paraId="1DFD4D6A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sectPr w:rsidRPr="00630F3B" w:rsidR="004B4C6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61D8" w:rsidRDefault="00F161D8" w14:paraId="73CCAE8B" w14:textId="77777777">
      <w:r>
        <w:separator/>
      </w:r>
    </w:p>
  </w:endnote>
  <w:endnote w:type="continuationSeparator" w:id="0">
    <w:p w:rsidR="00F161D8" w:rsidRDefault="00F161D8" w14:paraId="53B2E23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descrição do produto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gerflor.com</w:t>
    </w:r>
  </w:p>
  <w:p w:rsidR="00630F3B" w:rsidRDefault="00630F3B" w14:paraId="69C605C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61D8" w:rsidRDefault="00F161D8" w14:paraId="175B54C1" w14:textId="77777777">
      <w:r>
        <w:separator/>
      </w:r>
    </w:p>
  </w:footnote>
  <w:footnote w:type="continuationSeparator" w:id="0">
    <w:p w:rsidR="00F161D8" w:rsidRDefault="00F161D8" w14:paraId="1A9FFAF9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428D3"/>
    <w:rsid w:val="000C494F"/>
    <w:rsid w:val="000C6AB7"/>
    <w:rsid w:val="00294543"/>
    <w:rsid w:val="002A7AA7"/>
    <w:rsid w:val="002E3E1C"/>
    <w:rsid w:val="002E5ABD"/>
    <w:rsid w:val="00391DCD"/>
    <w:rsid w:val="00443832"/>
    <w:rsid w:val="004B4C68"/>
    <w:rsid w:val="00533C45"/>
    <w:rsid w:val="00540E9C"/>
    <w:rsid w:val="00542F6E"/>
    <w:rsid w:val="0055676A"/>
    <w:rsid w:val="005A7F9E"/>
    <w:rsid w:val="005D7BBC"/>
    <w:rsid w:val="005E210C"/>
    <w:rsid w:val="005E2D20"/>
    <w:rsid w:val="006025B6"/>
    <w:rsid w:val="00630F3B"/>
    <w:rsid w:val="00637ED8"/>
    <w:rsid w:val="00661DAB"/>
    <w:rsid w:val="007C51EF"/>
    <w:rsid w:val="00826F3A"/>
    <w:rsid w:val="00834C69"/>
    <w:rsid w:val="0087412B"/>
    <w:rsid w:val="00905176"/>
    <w:rsid w:val="00924EAF"/>
    <w:rsid w:val="0094383F"/>
    <w:rsid w:val="0097156C"/>
    <w:rsid w:val="009D3433"/>
    <w:rsid w:val="00A16FE1"/>
    <w:rsid w:val="00A43D63"/>
    <w:rsid w:val="00A64157"/>
    <w:rsid w:val="00A67376"/>
    <w:rsid w:val="00A73AEE"/>
    <w:rsid w:val="00AF7D64"/>
    <w:rsid w:val="00B26BDC"/>
    <w:rsid w:val="00B41333"/>
    <w:rsid w:val="00BC7D83"/>
    <w:rsid w:val="00C85D95"/>
    <w:rsid w:val="00CE6FD0"/>
    <w:rsid w:val="00D37E4A"/>
    <w:rsid w:val="00D6372A"/>
    <w:rsid w:val="00D802D1"/>
    <w:rsid w:val="00D82B62"/>
    <w:rsid w:val="00DC0E89"/>
    <w:rsid w:val="00DF3913"/>
    <w:rsid w:val="00EC174A"/>
    <w:rsid w:val="00F161D8"/>
    <w:rsid w:val="00F21CF6"/>
    <w:rsid w:val="00F90EF1"/>
    <w:rsid w:val="00F9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536BA699"/>
  <w15:chartTrackingRefBased/>
  <w15:docId w15:val="{F57E73CF-E3FA-4CB0-89F1-D05EB3B8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08C840-F9BC-4B39-AA40-94F01B340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1A15A9-83DB-441B-8C67-67C858C2F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8EC930-0144-4E50-8613-7BE5DEE42060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2377232-67cf-4648-8711-bdcfba3a2859"/>
    <ds:schemaRef ds:uri="http://schemas.microsoft.com/office/2006/documentManagement/types"/>
    <ds:schemaRef ds:uri="f437fb0a-bd1d-4cc6-90a6-5b259e8465e8"/>
    <ds:schemaRef ds:uri="http://www.w3.org/XML/1998/namespace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242</ap:Words>
  <ap:Characters>1346</ap:Characters>
  <ap:Application>Microsoft Office Word</ap:Application>
  <ap:DocSecurity>0</ap:DocSecurity>
  <ap:Lines>11</ap:Lines>
  <ap:Paragraphs>3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1585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docId:3B8645674B712EF27906037B8C0BCC5D</keywords>
  <dc:description/>
  <lastModifiedBy>GZOUR Hajar</lastModifiedBy>
  <revision>2</revision>
  <lastPrinted>1601-01-01T00:00:00.0000000Z</lastPrinted>
  <dcterms:created xsi:type="dcterms:W3CDTF">2023-08-09T13:56:00.0000000Z</dcterms:created>
  <dcterms:modified xsi:type="dcterms:W3CDTF">2023-08-09T13:56:00.0000000Z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